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8"/>
          <w:szCs w:val="28"/>
        </w:rPr>
        <w:t>教师教育学院硕士研究生论文预答辩实施方案</w:t>
      </w:r>
    </w:p>
    <w:p>
      <w:pPr>
        <w:ind w:firstLine="0" w:firstLineChars="0"/>
        <w:jc w:val="center"/>
        <w:rPr>
          <w:rFonts w:ascii="方正小标宋简体" w:hAnsi="黑体" w:eastAsia="方正小标宋简体"/>
          <w:sz w:val="15"/>
          <w:szCs w:val="15"/>
        </w:rPr>
      </w:pPr>
    </w:p>
    <w:p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为进一步提高硕士研究生学位论文水平，保证硕士研究生学位论文质量，我院所有申请硕士学位的研究生须进行论文预答辩，具体实施方案如下：</w:t>
      </w:r>
    </w:p>
    <w:p>
      <w:pPr>
        <w:spacing w:line="460" w:lineRule="exact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一、预答辩实施对象</w:t>
      </w:r>
    </w:p>
    <w:p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凡申请硕士学位者均须进行论文预答辩。</w:t>
      </w:r>
      <w:r>
        <w:rPr>
          <w:rFonts w:ascii="宋体" w:hAnsi="宋体"/>
          <w:sz w:val="24"/>
          <w:szCs w:val="24"/>
        </w:rPr>
        <w:t>以往</w:t>
      </w:r>
      <w:r>
        <w:rPr>
          <w:rFonts w:hint="eastAsia" w:ascii="宋体" w:hAnsi="宋体"/>
          <w:sz w:val="24"/>
          <w:szCs w:val="24"/>
        </w:rPr>
        <w:t>重合率检测未通过、</w:t>
      </w:r>
      <w:r>
        <w:rPr>
          <w:rFonts w:ascii="宋体" w:hAnsi="宋体"/>
          <w:sz w:val="24"/>
          <w:szCs w:val="24"/>
        </w:rPr>
        <w:t>盲审结果有异议或未通过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盲审通过</w:t>
      </w:r>
      <w:r>
        <w:rPr>
          <w:rFonts w:hint="eastAsia" w:ascii="宋体" w:hAnsi="宋体"/>
          <w:sz w:val="24"/>
          <w:szCs w:val="24"/>
        </w:rPr>
        <w:t>但</w:t>
      </w:r>
      <w:r>
        <w:rPr>
          <w:rFonts w:ascii="宋体" w:hAnsi="宋体"/>
          <w:sz w:val="24"/>
          <w:szCs w:val="24"/>
        </w:rPr>
        <w:t>答辩未通过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盲审</w:t>
      </w:r>
      <w:r>
        <w:rPr>
          <w:rFonts w:hint="eastAsia" w:ascii="宋体" w:hAnsi="宋体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答辩通过但</w:t>
      </w:r>
      <w:r>
        <w:rPr>
          <w:rFonts w:hint="eastAsia" w:ascii="宋体" w:hAnsi="宋体"/>
          <w:sz w:val="24"/>
          <w:szCs w:val="24"/>
        </w:rPr>
        <w:t>学位评定</w:t>
      </w:r>
      <w:r>
        <w:rPr>
          <w:rFonts w:ascii="宋体" w:hAnsi="宋体"/>
          <w:sz w:val="24"/>
          <w:szCs w:val="24"/>
        </w:rPr>
        <w:t>分委员会或校</w:t>
      </w:r>
      <w:r>
        <w:rPr>
          <w:rFonts w:hint="eastAsia" w:ascii="宋体" w:hAnsi="宋体"/>
          <w:sz w:val="24"/>
          <w:szCs w:val="24"/>
        </w:rPr>
        <w:t>学位评定</w:t>
      </w:r>
      <w:r>
        <w:rPr>
          <w:rFonts w:ascii="宋体" w:hAnsi="宋体"/>
          <w:sz w:val="24"/>
          <w:szCs w:val="24"/>
        </w:rPr>
        <w:t>委员会</w:t>
      </w:r>
      <w:r>
        <w:rPr>
          <w:rFonts w:hint="eastAsia" w:ascii="宋体" w:hAnsi="宋体"/>
          <w:sz w:val="24"/>
          <w:szCs w:val="24"/>
        </w:rPr>
        <w:t>学位</w:t>
      </w:r>
      <w:r>
        <w:rPr>
          <w:rFonts w:ascii="宋体" w:hAnsi="宋体"/>
          <w:sz w:val="24"/>
          <w:szCs w:val="24"/>
        </w:rPr>
        <w:t>讨论未通过</w:t>
      </w:r>
      <w:r>
        <w:rPr>
          <w:rFonts w:hint="eastAsia" w:ascii="宋体" w:hAnsi="宋体"/>
          <w:sz w:val="24"/>
          <w:szCs w:val="24"/>
        </w:rPr>
        <w:t>的延期毕业的硕士研究生，均需重新参加预答辩。</w:t>
      </w:r>
    </w:p>
    <w:p>
      <w:pPr>
        <w:spacing w:line="460" w:lineRule="exact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二、预答辩程序</w:t>
      </w:r>
    </w:p>
    <w:p>
      <w:pPr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（一）预答辩申请。硕士研究生完成学位论文，提交导师评阅通过后，方可组织预答辩。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（二）提交学位论文。硕士研究生在预答辩前一周提交学位论文给预答辩小组成员评阅。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（三）进行论文预答辩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1.预答辩</w:t>
      </w:r>
      <w:r>
        <w:rPr>
          <w:rFonts w:ascii="宋体" w:hAnsi="宋体"/>
          <w:sz w:val="24"/>
          <w:szCs w:val="24"/>
        </w:rPr>
        <w:t>小组应</w:t>
      </w:r>
      <w:r>
        <w:rPr>
          <w:rFonts w:hint="eastAsia" w:ascii="宋体" w:hAnsi="宋体"/>
          <w:sz w:val="24"/>
          <w:szCs w:val="24"/>
        </w:rPr>
        <w:t>由3或5位</w:t>
      </w:r>
      <w:r>
        <w:rPr>
          <w:rFonts w:ascii="宋体" w:hAnsi="宋体"/>
          <w:sz w:val="24"/>
          <w:szCs w:val="24"/>
        </w:rPr>
        <w:t>副高</w:t>
      </w:r>
      <w:r>
        <w:rPr>
          <w:rFonts w:hint="eastAsia" w:ascii="宋体" w:hAnsi="宋体"/>
          <w:sz w:val="24"/>
          <w:szCs w:val="24"/>
        </w:rPr>
        <w:t>以上</w:t>
      </w:r>
      <w:r>
        <w:rPr>
          <w:rFonts w:ascii="宋体" w:hAnsi="宋体"/>
          <w:sz w:val="24"/>
          <w:szCs w:val="24"/>
        </w:rPr>
        <w:t>职称专家组成</w:t>
      </w:r>
      <w:r>
        <w:rPr>
          <w:rFonts w:hint="eastAsia" w:ascii="宋体" w:hAnsi="宋体"/>
          <w:sz w:val="24"/>
          <w:szCs w:val="24"/>
        </w:rPr>
        <w:t>，导师为小组负责人。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硕士研究生介绍论文内容并重点阐述论文的创新性、关键性结论等。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3.预答辩小组对预答辩学位论文提出问题，根据论文的创新性、学术水平、工作量、理论研究和实验研究的立论依据、研究成果、关键性结论等做出评价,并给出详细的论文修改或完善的意见。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4.预答辩结论为三类：优秀、良好、合格、基本合格和不合格。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（四）提交预答辩意见书</w:t>
      </w:r>
    </w:p>
    <w:p>
      <w:pPr>
        <w:widowControl/>
        <w:spacing w:line="46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论文预答辩结束后，提交预答辩意见书一份至学院教务办公室（教院楼102室）。</w:t>
      </w:r>
    </w:p>
    <w:p>
      <w:pPr>
        <w:spacing w:line="460" w:lineRule="exact"/>
        <w:ind w:firstLine="48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三、预答辩时间</w:t>
      </w:r>
    </w:p>
    <w:p>
      <w:pPr>
        <w:spacing w:line="460" w:lineRule="exact"/>
        <w:ind w:firstLine="480"/>
        <w:rPr>
          <w:rFonts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春季毕业生一般最晚于3月底前完成预答辩；秋季毕业生一般最晚于9月底前完成预答辩。具体时间截点根据学位办工作要求再通知。</w:t>
      </w:r>
    </w:p>
    <w:p>
      <w:pPr>
        <w:spacing w:line="460" w:lineRule="exact"/>
        <w:ind w:firstLine="480"/>
        <w:rPr>
          <w:rFonts w:ascii="Times New Roman" w:hAnsi="宋体"/>
          <w:sz w:val="24"/>
          <w:szCs w:val="24"/>
        </w:rPr>
      </w:pPr>
    </w:p>
    <w:p>
      <w:pPr>
        <w:spacing w:line="460" w:lineRule="exact"/>
        <w:ind w:firstLine="48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>教师教育学院</w:t>
      </w:r>
    </w:p>
    <w:p>
      <w:pPr>
        <w:spacing w:line="460" w:lineRule="exact"/>
        <w:ind w:left="0" w:leftChars="0" w:firstLine="6518" w:firstLineChars="2716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2019.2.21</w:t>
      </w:r>
    </w:p>
    <w:p>
      <w:pPr>
        <w:spacing w:line="460" w:lineRule="exact"/>
        <w:ind w:left="0" w:leftChars="0" w:firstLine="0" w:firstLineChars="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附件：教师教育学院硕士研究生预答辩意见书</w:t>
      </w:r>
    </w:p>
    <w:p>
      <w:pPr>
        <w:widowControl/>
        <w:ind w:firstLine="0" w:firstLineChars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widowControl/>
        <w:ind w:firstLine="0" w:firstLineChars="0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教师教育学院</w:t>
      </w:r>
      <w:r>
        <w:rPr>
          <w:b/>
          <w:sz w:val="28"/>
          <w:szCs w:val="28"/>
        </w:rPr>
        <w:t>硕士研究生预答辩意见书</w:t>
      </w:r>
      <w:r>
        <w:rPr>
          <w:rFonts w:hint="eastAsia"/>
          <w:b/>
          <w:sz w:val="28"/>
          <w:szCs w:val="28"/>
          <w:lang w:eastAsia="zh-CN"/>
        </w:rPr>
        <w:t>（地理教育专业）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512"/>
        <w:gridCol w:w="892"/>
        <w:gridCol w:w="373"/>
        <w:gridCol w:w="248"/>
        <w:gridCol w:w="1512"/>
        <w:gridCol w:w="272"/>
        <w:gridCol w:w="124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学位论文</w:t>
            </w:r>
            <w:r>
              <w:rPr>
                <w:b/>
              </w:rPr>
              <w:t>题目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77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辩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b/>
              </w:rPr>
              <w:t>小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b/>
              </w:rPr>
              <w:t>组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b/>
              </w:rPr>
              <w:t>成</w:t>
            </w:r>
          </w:p>
          <w:p>
            <w:pPr>
              <w:ind w:left="0" w:leftChars="0" w:firstLine="0" w:firstLineChars="0"/>
              <w:jc w:val="center"/>
            </w:pPr>
            <w:r>
              <w:rPr>
                <w:b/>
              </w:rPr>
              <w:t>员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副教授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副教授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副教授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预答辩</w:t>
            </w:r>
            <w:r>
              <w:rPr>
                <w:b/>
              </w:rPr>
              <w:t>秘书姓名</w:t>
            </w:r>
          </w:p>
        </w:tc>
        <w:tc>
          <w:tcPr>
            <w:tcW w:w="2777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预答辩</w:t>
            </w:r>
            <w:r>
              <w:rPr>
                <w:b/>
              </w:rPr>
              <w:t>时间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  <w:r>
              <w:rPr>
                <w:b/>
              </w:rPr>
              <w:t>的创新性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研究方法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研究结论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77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</w:t>
            </w:r>
          </w:p>
        </w:tc>
        <w:tc>
          <w:tcPr>
            <w:tcW w:w="7563" w:type="dxa"/>
            <w:gridSpan w:val="8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77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预答辩结论</w:t>
            </w:r>
          </w:p>
        </w:tc>
        <w:tc>
          <w:tcPr>
            <w:tcW w:w="1512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</w:rPr>
              <w:t>优秀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</w:rPr>
              <w:t>良好</w:t>
            </w:r>
          </w:p>
        </w:tc>
        <w:tc>
          <w:tcPr>
            <w:tcW w:w="1512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</w:rPr>
              <w:t>合格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</w:rPr>
              <w:t>基本</w:t>
            </w:r>
            <w:r>
              <w:rPr>
                <w:b/>
              </w:rPr>
              <w:t>合格</w:t>
            </w:r>
          </w:p>
        </w:tc>
        <w:tc>
          <w:tcPr>
            <w:tcW w:w="1513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</w:p>
        </w:tc>
        <w:tc>
          <w:tcPr>
            <w:tcW w:w="7563" w:type="dxa"/>
            <w:gridSpan w:val="8"/>
          </w:tcPr>
          <w:p>
            <w:pPr>
              <w:ind w:left="0" w:leftChars="0"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预答辩小组成员签名：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77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导师意见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</w:rPr>
              <w:t>同意修改后</w:t>
            </w:r>
          </w:p>
          <w:p>
            <w:pPr>
              <w:ind w:left="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进入学位申请程序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  <w:lang w:eastAsia="zh-CN"/>
              </w:rPr>
              <w:t>视修改情况决定是否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进入学位申请程序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rPr>
                <w:rFonts w:hint="eastAsia"/>
                <w:b/>
                <w:lang w:eastAsia="zh-CN"/>
              </w:rPr>
              <w:t>继续深入研究和修改论文</w:t>
            </w:r>
          </w:p>
          <w:p>
            <w:pPr>
              <w:ind w:left="0" w:leftChars="0"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延期进入学位申请程序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7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</w:rPr>
            </w:pPr>
          </w:p>
        </w:tc>
        <w:tc>
          <w:tcPr>
            <w:tcW w:w="7563" w:type="dxa"/>
            <w:gridSpan w:val="8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导师签名：</w:t>
            </w:r>
          </w:p>
        </w:tc>
      </w:tr>
    </w:tbl>
    <w:p>
      <w:pPr>
        <w:spacing w:line="460" w:lineRule="exact"/>
        <w:ind w:firstLine="0" w:firstLineChars="0"/>
        <w:jc w:val="left"/>
        <w:rPr>
          <w:rFonts w:hint="eastAsia" w:ascii="黑体" w:hAnsi="黑体" w:eastAsia="黑体"/>
          <w:sz w:val="11"/>
          <w:szCs w:val="1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ESRI AMFM Electr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83"/>
    <w:rsid w:val="00037AFE"/>
    <w:rsid w:val="000C2556"/>
    <w:rsid w:val="00206906"/>
    <w:rsid w:val="00241CD0"/>
    <w:rsid w:val="002F1683"/>
    <w:rsid w:val="00310607"/>
    <w:rsid w:val="005F533F"/>
    <w:rsid w:val="0061591E"/>
    <w:rsid w:val="006F6A0E"/>
    <w:rsid w:val="00704D99"/>
    <w:rsid w:val="00882192"/>
    <w:rsid w:val="009553AF"/>
    <w:rsid w:val="00A54B11"/>
    <w:rsid w:val="00A63405"/>
    <w:rsid w:val="00A81075"/>
    <w:rsid w:val="00AF5BC0"/>
    <w:rsid w:val="00B13BB0"/>
    <w:rsid w:val="00BC5BBD"/>
    <w:rsid w:val="00C33254"/>
    <w:rsid w:val="00CB2F3A"/>
    <w:rsid w:val="00D00905"/>
    <w:rsid w:val="00E953F2"/>
    <w:rsid w:val="00F3145D"/>
    <w:rsid w:val="00F37F32"/>
    <w:rsid w:val="00F47639"/>
    <w:rsid w:val="00F56E46"/>
    <w:rsid w:val="02B76E77"/>
    <w:rsid w:val="0C8F249A"/>
    <w:rsid w:val="0F743E3B"/>
    <w:rsid w:val="21CB371C"/>
    <w:rsid w:val="27454F51"/>
    <w:rsid w:val="2DB45027"/>
    <w:rsid w:val="328B64E9"/>
    <w:rsid w:val="33714F23"/>
    <w:rsid w:val="39190435"/>
    <w:rsid w:val="3D1A64E0"/>
    <w:rsid w:val="423449A3"/>
    <w:rsid w:val="47787C97"/>
    <w:rsid w:val="4B0523A9"/>
    <w:rsid w:val="4B131D1A"/>
    <w:rsid w:val="4EDA3762"/>
    <w:rsid w:val="50381BA8"/>
    <w:rsid w:val="51ED4388"/>
    <w:rsid w:val="53BB4F23"/>
    <w:rsid w:val="5F0432FF"/>
    <w:rsid w:val="65286ED0"/>
    <w:rsid w:val="68FE281D"/>
    <w:rsid w:val="692C670B"/>
    <w:rsid w:val="6D44185F"/>
    <w:rsid w:val="739F7C5F"/>
    <w:rsid w:val="7DD2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777</Characters>
  <Lines>6</Lines>
  <Paragraphs>1</Paragraphs>
  <TotalTime>13</TotalTime>
  <ScaleCrop>false</ScaleCrop>
  <LinksUpToDate>false</LinksUpToDate>
  <CharactersWithSpaces>912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2019-02-18T02:35:00Z</dcterms:created>
  <dc:creator>Jiao Yuxi</dc:creator>
  <cp:lastModifiedBy>卢晓旭</cp:lastModifiedBy>
  <dcterms:modified xsi:type="dcterms:W3CDTF">2019-02-23T04:36:16Z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